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02E6" w14:textId="1D45C80B" w:rsidR="0095660D" w:rsidRPr="00E176FD" w:rsidRDefault="00CA67F1" w:rsidP="00C274B8">
      <w:pPr>
        <w:jc w:val="center"/>
        <w:rPr>
          <w:b/>
          <w:color w:val="003F75"/>
          <w:sz w:val="32"/>
          <w:szCs w:val="32"/>
          <w:lang w:val="en-GB"/>
        </w:rPr>
      </w:pPr>
      <w:r w:rsidRPr="00E176FD">
        <w:rPr>
          <w:b/>
          <w:color w:val="003F75"/>
          <w:sz w:val="32"/>
          <w:szCs w:val="32"/>
          <w:lang w:val="en-GB"/>
        </w:rPr>
        <w:t>B</w:t>
      </w:r>
      <w:r w:rsidR="00C274B8" w:rsidRPr="00E176FD">
        <w:rPr>
          <w:b/>
          <w:color w:val="003F75"/>
          <w:sz w:val="32"/>
          <w:szCs w:val="32"/>
          <w:lang w:val="en-GB"/>
        </w:rPr>
        <w:t xml:space="preserve">ACELL </w:t>
      </w:r>
      <w:r w:rsidR="0095660D" w:rsidRPr="00E176FD">
        <w:rPr>
          <w:b/>
          <w:color w:val="003F75"/>
          <w:sz w:val="32"/>
          <w:szCs w:val="32"/>
          <w:lang w:val="en-GB"/>
        </w:rPr>
        <w:t>20</w:t>
      </w:r>
      <w:r w:rsidRPr="00E176FD">
        <w:rPr>
          <w:rFonts w:hint="eastAsia"/>
          <w:b/>
          <w:color w:val="003F75"/>
          <w:sz w:val="32"/>
          <w:szCs w:val="32"/>
          <w:lang w:val="en-GB" w:eastAsia="ja-JP"/>
        </w:rPr>
        <w:t>2</w:t>
      </w:r>
      <w:r w:rsidR="00D73F37" w:rsidRPr="00E176FD">
        <w:rPr>
          <w:rFonts w:hint="eastAsia"/>
          <w:b/>
          <w:color w:val="003F75"/>
          <w:sz w:val="32"/>
          <w:szCs w:val="32"/>
          <w:lang w:val="en-GB" w:eastAsia="ja-JP"/>
        </w:rPr>
        <w:t>3</w:t>
      </w:r>
      <w:r w:rsidR="0095660D" w:rsidRPr="00E176FD">
        <w:rPr>
          <w:b/>
          <w:color w:val="003F75"/>
          <w:sz w:val="32"/>
          <w:szCs w:val="32"/>
          <w:lang w:val="en-GB"/>
        </w:rPr>
        <w:t xml:space="preserve"> </w:t>
      </w:r>
      <w:r w:rsidR="00C274B8" w:rsidRPr="00E176FD">
        <w:rPr>
          <w:b/>
          <w:color w:val="003F75"/>
          <w:sz w:val="32"/>
          <w:szCs w:val="32"/>
          <w:lang w:val="en-GB"/>
        </w:rPr>
        <w:t>Hohenheim Registration Form</w:t>
      </w:r>
    </w:p>
    <w:p w14:paraId="4425E7F2" w14:textId="1918005A" w:rsidR="00563449" w:rsidRDefault="00563449" w:rsidP="00563449">
      <w:pPr>
        <w:jc w:val="center"/>
        <w:rPr>
          <w:b/>
          <w:sz w:val="28"/>
          <w:lang w:val="en-GB"/>
        </w:rPr>
      </w:pPr>
    </w:p>
    <w:p w14:paraId="7110544C" w14:textId="77777777" w:rsidR="00334192" w:rsidRDefault="00334192" w:rsidP="00C274B8">
      <w:pPr>
        <w:rPr>
          <w:b/>
          <w:lang w:val="en-GB"/>
        </w:rPr>
      </w:pPr>
    </w:p>
    <w:p w14:paraId="48D23292" w14:textId="0026F1A1" w:rsidR="00C274B8" w:rsidRDefault="00C274B8" w:rsidP="00C274B8">
      <w:pPr>
        <w:rPr>
          <w:b/>
          <w:lang w:val="en-GB"/>
        </w:rPr>
      </w:pPr>
      <w:r w:rsidRPr="00A45E6B">
        <w:rPr>
          <w:b/>
          <w:lang w:val="en-GB"/>
        </w:rPr>
        <w:t xml:space="preserve">Name, </w:t>
      </w:r>
      <w:r w:rsidR="00334192">
        <w:rPr>
          <w:b/>
          <w:lang w:val="en-GB"/>
        </w:rPr>
        <w:t>s</w:t>
      </w:r>
      <w:r w:rsidRPr="00A45E6B">
        <w:rPr>
          <w:b/>
          <w:lang w:val="en-GB"/>
        </w:rPr>
        <w:t>urname:</w:t>
      </w:r>
    </w:p>
    <w:p w14:paraId="0C2C3B4E" w14:textId="77777777" w:rsidR="00334192" w:rsidRPr="00A45E6B" w:rsidRDefault="00334192" w:rsidP="00C274B8">
      <w:pPr>
        <w:rPr>
          <w:b/>
          <w:lang w:val="en-GB"/>
        </w:rPr>
      </w:pPr>
    </w:p>
    <w:p w14:paraId="7D4017BC" w14:textId="17EBCC85" w:rsidR="00563449" w:rsidRDefault="00A45E6B" w:rsidP="00A45E6B">
      <w:pPr>
        <w:rPr>
          <w:b/>
          <w:bCs/>
          <w:lang w:val="en-GB"/>
        </w:rPr>
      </w:pPr>
      <w:r w:rsidRPr="00A45E6B">
        <w:rPr>
          <w:b/>
          <w:bCs/>
          <w:lang w:val="en-GB"/>
        </w:rPr>
        <w:t>Email:</w:t>
      </w:r>
    </w:p>
    <w:p w14:paraId="4C11D219" w14:textId="62B5E35E" w:rsidR="00334192" w:rsidRDefault="00334192" w:rsidP="00A45E6B">
      <w:pPr>
        <w:rPr>
          <w:b/>
          <w:bCs/>
          <w:lang w:val="en-GB"/>
        </w:rPr>
      </w:pPr>
    </w:p>
    <w:p w14:paraId="76E088A1" w14:textId="46A6A675" w:rsidR="00334192" w:rsidRDefault="00334192" w:rsidP="00A45E6B">
      <w:pPr>
        <w:rPr>
          <w:b/>
          <w:bCs/>
          <w:lang w:val="en-GB"/>
        </w:rPr>
      </w:pPr>
      <w:r>
        <w:rPr>
          <w:b/>
          <w:bCs/>
          <w:lang w:val="en-GB"/>
        </w:rPr>
        <w:t>Participant status</w:t>
      </w:r>
    </w:p>
    <w:p w14:paraId="024CB72A" w14:textId="77777777" w:rsidR="00334192" w:rsidRPr="00A45E6B" w:rsidRDefault="00334192" w:rsidP="00A45E6B">
      <w:pPr>
        <w:rPr>
          <w:b/>
          <w:bCs/>
          <w:lang w:val="en-GB"/>
        </w:rPr>
      </w:pPr>
    </w:p>
    <w:p w14:paraId="6FAB56E4" w14:textId="435687FD" w:rsidR="00A45E6B" w:rsidRDefault="00A45E6B" w:rsidP="00A45E6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Academia</w:t>
      </w:r>
      <w:r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1B3165A9" w14:textId="25DD06A8" w:rsidR="00A45E6B" w:rsidRDefault="00A45E6B" w:rsidP="00A45E6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Industry</w:t>
      </w:r>
      <w:r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5A1D4BC5" w14:textId="3182B56B" w:rsidR="00A45E6B" w:rsidRDefault="00A45E6B" w:rsidP="00A45E6B">
      <w:pPr>
        <w:rPr>
          <w:b/>
          <w:bCs/>
          <w:lang w:val="en-GB"/>
        </w:rPr>
      </w:pPr>
    </w:p>
    <w:p w14:paraId="7E769B77" w14:textId="77777777" w:rsidR="00334192" w:rsidRDefault="00334192" w:rsidP="00A45E6B">
      <w:pPr>
        <w:rPr>
          <w:b/>
          <w:bCs/>
          <w:lang w:val="en-GB"/>
        </w:rPr>
      </w:pPr>
    </w:p>
    <w:p w14:paraId="139618C6" w14:textId="5EB17D35" w:rsidR="00A45E6B" w:rsidRDefault="00A45E6B" w:rsidP="00A45E6B">
      <w:pPr>
        <w:rPr>
          <w:lang w:val="en-GB"/>
        </w:rPr>
      </w:pPr>
      <w:r w:rsidRPr="00A45E6B">
        <w:rPr>
          <w:b/>
          <w:bCs/>
          <w:lang w:val="en-GB"/>
        </w:rPr>
        <w:t>I would like to attend the conference without contributing</w:t>
      </w:r>
      <w:r>
        <w:rPr>
          <w:lang w:val="en-GB"/>
        </w:rPr>
        <w:t xml:space="preserve"> </w:t>
      </w:r>
      <w:r>
        <w:rPr>
          <w:lang w:val="en-GB"/>
        </w:rPr>
        <w:sym w:font="Wingdings 2" w:char="F0A3"/>
      </w:r>
    </w:p>
    <w:p w14:paraId="3F3390EC" w14:textId="27371D04" w:rsidR="00A45E6B" w:rsidRDefault="00A45E6B" w:rsidP="0075611A">
      <w:pPr>
        <w:rPr>
          <w:lang w:val="en-GB"/>
        </w:rPr>
      </w:pPr>
    </w:p>
    <w:p w14:paraId="0860F4CE" w14:textId="77777777" w:rsidR="00334192" w:rsidRDefault="00334192" w:rsidP="0075611A">
      <w:pPr>
        <w:rPr>
          <w:lang w:val="en-GB"/>
        </w:rPr>
      </w:pPr>
    </w:p>
    <w:p w14:paraId="60DC05F5" w14:textId="0A9C27DB" w:rsidR="0075611A" w:rsidRDefault="0075611A" w:rsidP="0075611A">
      <w:pPr>
        <w:rPr>
          <w:b/>
          <w:bCs/>
          <w:lang w:val="en-GB"/>
        </w:rPr>
      </w:pPr>
      <w:r w:rsidRPr="00A45E6B">
        <w:rPr>
          <w:b/>
          <w:bCs/>
          <w:lang w:val="en-GB"/>
        </w:rPr>
        <w:t>I would like to present my research</w:t>
      </w:r>
      <w:r w:rsidR="003A1487" w:rsidRPr="00A45E6B">
        <w:rPr>
          <w:b/>
          <w:bCs/>
          <w:lang w:val="en-GB"/>
        </w:rPr>
        <w:t>…</w:t>
      </w:r>
    </w:p>
    <w:p w14:paraId="23B1A5B2" w14:textId="77777777" w:rsidR="00334192" w:rsidRPr="00A45E6B" w:rsidRDefault="00334192" w:rsidP="0075611A">
      <w:pPr>
        <w:rPr>
          <w:b/>
          <w:bCs/>
          <w:lang w:val="en-GB"/>
        </w:rPr>
      </w:pPr>
    </w:p>
    <w:p w14:paraId="73DD6211" w14:textId="2B80FC66" w:rsidR="0075611A" w:rsidRDefault="0075611A" w:rsidP="0075611A">
      <w:pPr>
        <w:rPr>
          <w:lang w:val="en-GB"/>
        </w:rPr>
      </w:pPr>
      <w:r>
        <w:rPr>
          <w:lang w:val="en-GB"/>
        </w:rPr>
        <w:tab/>
      </w:r>
      <w:r w:rsidR="00A45E6B">
        <w:rPr>
          <w:lang w:val="en-GB"/>
        </w:rPr>
        <w:t xml:space="preserve">…in a talk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6FBC6556" w14:textId="607853D5" w:rsidR="0095660D" w:rsidRDefault="0075611A" w:rsidP="0051463F">
      <w:pPr>
        <w:rPr>
          <w:lang w:val="en-GB"/>
        </w:rPr>
      </w:pPr>
      <w:r>
        <w:rPr>
          <w:lang w:val="en-GB"/>
        </w:rPr>
        <w:tab/>
      </w:r>
      <w:r w:rsidR="00A45E6B">
        <w:rPr>
          <w:lang w:val="en-GB"/>
        </w:rPr>
        <w:t xml:space="preserve">…on a poster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03350D1E" w14:textId="712E6CC9" w:rsidR="00A45E6B" w:rsidRDefault="00A45E6B" w:rsidP="0051463F">
      <w:pPr>
        <w:rPr>
          <w:lang w:val="en-GB"/>
        </w:rPr>
      </w:pPr>
    </w:p>
    <w:p w14:paraId="1D105408" w14:textId="77777777" w:rsidR="00334192" w:rsidRDefault="00334192" w:rsidP="0051463F">
      <w:pPr>
        <w:rPr>
          <w:lang w:val="en-GB"/>
        </w:rPr>
      </w:pPr>
    </w:p>
    <w:p w14:paraId="7606249E" w14:textId="167477DF" w:rsidR="007476F1" w:rsidRDefault="007476F1" w:rsidP="0051463F">
      <w:pPr>
        <w:rPr>
          <w:b/>
          <w:bCs/>
          <w:lang w:val="en-GB"/>
        </w:rPr>
      </w:pPr>
      <w:r w:rsidRPr="00A45E6B">
        <w:rPr>
          <w:b/>
          <w:bCs/>
          <w:lang w:val="en-GB"/>
        </w:rPr>
        <w:t>Presenter status</w:t>
      </w:r>
    </w:p>
    <w:p w14:paraId="0D276C00" w14:textId="77777777" w:rsidR="00334192" w:rsidRPr="00A45E6B" w:rsidRDefault="00334192" w:rsidP="0051463F">
      <w:pPr>
        <w:rPr>
          <w:b/>
          <w:bCs/>
          <w:lang w:val="en-GB"/>
        </w:rPr>
      </w:pPr>
    </w:p>
    <w:p w14:paraId="64B7B696" w14:textId="5E39A35C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 w:rsidR="00A45E6B">
        <w:rPr>
          <w:lang w:val="en-GB"/>
        </w:rPr>
        <w:t>PhD student</w:t>
      </w:r>
      <w:r w:rsidR="00A45E6B"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76E475A0" w14:textId="45B9400C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 w:rsidR="00A45E6B">
        <w:rPr>
          <w:lang w:val="en-GB"/>
        </w:rPr>
        <w:t>Postdoc</w:t>
      </w:r>
      <w:r w:rsidR="00A45E6B"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358172DD" w14:textId="71D1CF3B" w:rsidR="007476F1" w:rsidRDefault="007476F1" w:rsidP="007476F1">
      <w:pPr>
        <w:rPr>
          <w:lang w:val="en-GB"/>
        </w:rPr>
      </w:pPr>
      <w:r>
        <w:rPr>
          <w:lang w:val="en-GB"/>
        </w:rPr>
        <w:tab/>
      </w:r>
      <w:r w:rsidR="00334192">
        <w:rPr>
          <w:lang w:val="en-GB"/>
        </w:rPr>
        <w:t>o</w:t>
      </w:r>
      <w:r w:rsidR="00A45E6B">
        <w:rPr>
          <w:lang w:val="en-GB"/>
        </w:rPr>
        <w:t>ther</w:t>
      </w:r>
      <w:r w:rsidR="00A45E6B"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21EC9FA5" w14:textId="3C66E224" w:rsidR="0073022A" w:rsidRDefault="0073022A" w:rsidP="0051463F">
      <w:pPr>
        <w:rPr>
          <w:lang w:val="en-GB" w:eastAsia="ja-JP"/>
        </w:rPr>
      </w:pPr>
    </w:p>
    <w:p w14:paraId="51FE4403" w14:textId="5F599445" w:rsidR="00334192" w:rsidRPr="006D7510" w:rsidRDefault="006D7510" w:rsidP="0051463F">
      <w:pPr>
        <w:rPr>
          <w:b/>
          <w:bCs/>
          <w:lang w:val="en-GB" w:eastAsia="ja-JP"/>
        </w:rPr>
      </w:pPr>
      <w:r w:rsidRPr="006D7510">
        <w:rPr>
          <w:b/>
          <w:bCs/>
          <w:lang w:val="en-GB" w:eastAsia="ja-JP"/>
        </w:rPr>
        <w:t>Food preferences</w:t>
      </w:r>
    </w:p>
    <w:p w14:paraId="42F1F549" w14:textId="0A99F835" w:rsidR="001E584F" w:rsidRDefault="001E584F" w:rsidP="0051463F">
      <w:pPr>
        <w:rPr>
          <w:lang w:val="en-GB" w:eastAsia="ja-JP"/>
        </w:rPr>
      </w:pPr>
    </w:p>
    <w:p w14:paraId="3DD6950E" w14:textId="69BF45DA" w:rsidR="006D7510" w:rsidRDefault="006D7510" w:rsidP="006D75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No preferences</w:t>
      </w:r>
      <w:r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4FD3B443" w14:textId="5D86E76D" w:rsidR="006D7510" w:rsidRDefault="006D7510" w:rsidP="0051463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Vegan</w:t>
      </w:r>
      <w:r>
        <w:rPr>
          <w:lang w:val="en-GB"/>
        </w:rPr>
        <w:t xml:space="preserve"> </w:t>
      </w: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</w:p>
    <w:p w14:paraId="1EDA0D0E" w14:textId="77777777" w:rsidR="006D7510" w:rsidRDefault="006D7510" w:rsidP="0051463F">
      <w:pPr>
        <w:rPr>
          <w:lang w:val="en-GB" w:eastAsia="ja-JP"/>
        </w:rPr>
      </w:pPr>
    </w:p>
    <w:p w14:paraId="069CE7C9" w14:textId="77777777" w:rsidR="00A45E6B" w:rsidRPr="00A45E6B" w:rsidRDefault="00A45E6B" w:rsidP="0051463F">
      <w:pPr>
        <w:rPr>
          <w:b/>
          <w:bCs/>
          <w:lang w:val="en-GB" w:eastAsia="ja-JP"/>
        </w:rPr>
      </w:pPr>
      <w:r w:rsidRPr="00A45E6B">
        <w:rPr>
          <w:b/>
          <w:bCs/>
          <w:lang w:val="en-GB" w:eastAsia="ja-JP"/>
        </w:rPr>
        <w:t>Abstract instructions</w:t>
      </w:r>
    </w:p>
    <w:p w14:paraId="1EDB8BEC" w14:textId="32745A23" w:rsidR="00563449" w:rsidRPr="00334192" w:rsidRDefault="00334192" w:rsidP="00334192">
      <w:pPr>
        <w:jc w:val="both"/>
        <w:rPr>
          <w:iCs/>
          <w:lang w:val="en-GB"/>
        </w:rPr>
      </w:pPr>
      <w:r>
        <w:rPr>
          <w:iCs/>
          <w:lang w:val="en-GB"/>
        </w:rPr>
        <w:t xml:space="preserve">The deadline for registration and abstract submission: </w:t>
      </w:r>
      <w:r w:rsidRPr="00334192">
        <w:rPr>
          <w:b/>
          <w:bCs/>
          <w:iCs/>
          <w:lang w:val="en-GB"/>
        </w:rPr>
        <w:t>April 15, 2023</w:t>
      </w:r>
      <w:r>
        <w:rPr>
          <w:iCs/>
          <w:lang w:val="en-GB"/>
        </w:rPr>
        <w:t xml:space="preserve">. </w:t>
      </w:r>
      <w:r w:rsidR="00A45E6B" w:rsidRPr="00334192">
        <w:rPr>
          <w:iCs/>
          <w:lang w:val="en-GB"/>
        </w:rPr>
        <w:t xml:space="preserve">Please use the template on </w:t>
      </w:r>
      <w:r>
        <w:rPr>
          <w:iCs/>
          <w:lang w:val="en-GB"/>
        </w:rPr>
        <w:t xml:space="preserve">the next </w:t>
      </w:r>
      <w:r w:rsidR="00A45E6B" w:rsidRPr="00334192">
        <w:rPr>
          <w:iCs/>
          <w:lang w:val="en-GB"/>
        </w:rPr>
        <w:t>page</w:t>
      </w:r>
      <w:r>
        <w:rPr>
          <w:iCs/>
          <w:lang w:val="en-GB"/>
        </w:rPr>
        <w:t xml:space="preserve"> </w:t>
      </w:r>
      <w:r w:rsidR="00A45E6B" w:rsidRPr="00334192">
        <w:rPr>
          <w:iCs/>
          <w:lang w:val="en-GB"/>
        </w:rPr>
        <w:t>to create your abstract</w:t>
      </w:r>
      <w:r>
        <w:rPr>
          <w:iCs/>
          <w:lang w:val="en-GB"/>
        </w:rPr>
        <w:t xml:space="preserve">. The abstract has a word limit of </w:t>
      </w:r>
      <w:r w:rsidR="00104C92">
        <w:rPr>
          <w:iCs/>
          <w:lang w:val="en-GB"/>
        </w:rPr>
        <w:t>30</w:t>
      </w:r>
      <w:r>
        <w:rPr>
          <w:iCs/>
          <w:lang w:val="en-GB"/>
        </w:rPr>
        <w:t>0 words. Please overwrite the attached template.</w:t>
      </w:r>
    </w:p>
    <w:p w14:paraId="6793A3B0" w14:textId="77777777" w:rsidR="00563449" w:rsidRPr="00334192" w:rsidRDefault="00563449" w:rsidP="00334192">
      <w:pPr>
        <w:jc w:val="both"/>
        <w:rPr>
          <w:iCs/>
          <w:u w:val="single"/>
          <w:lang w:val="en-GB"/>
        </w:rPr>
      </w:pPr>
    </w:p>
    <w:p w14:paraId="618AD9B1" w14:textId="77777777" w:rsidR="00334192" w:rsidRDefault="00563449" w:rsidP="00334192">
      <w:pPr>
        <w:jc w:val="both"/>
        <w:rPr>
          <w:iCs/>
          <w:lang w:val="en-GB"/>
        </w:rPr>
      </w:pPr>
      <w:r w:rsidRPr="00334192">
        <w:rPr>
          <w:iCs/>
          <w:lang w:val="en-GB"/>
        </w:rPr>
        <w:t xml:space="preserve">When completed, </w:t>
      </w:r>
      <w:r w:rsidR="007476F1" w:rsidRPr="00334192">
        <w:rPr>
          <w:iCs/>
          <w:lang w:val="en-GB"/>
        </w:rPr>
        <w:t>s</w:t>
      </w:r>
      <w:r w:rsidR="00883A1C" w:rsidRPr="00334192">
        <w:rPr>
          <w:iCs/>
          <w:lang w:val="en-GB"/>
        </w:rPr>
        <w:t xml:space="preserve">ave </w:t>
      </w:r>
      <w:r w:rsidR="00334192">
        <w:rPr>
          <w:iCs/>
          <w:lang w:val="en-GB"/>
        </w:rPr>
        <w:t xml:space="preserve">the registration form as follows (example): </w:t>
      </w:r>
    </w:p>
    <w:p w14:paraId="5C3FA496" w14:textId="0485CB9C" w:rsidR="00334192" w:rsidRPr="00334192" w:rsidRDefault="00334192" w:rsidP="00334192">
      <w:pPr>
        <w:jc w:val="both"/>
        <w:rPr>
          <w:b/>
          <w:bCs/>
          <w:iCs/>
          <w:lang w:val="en-GB"/>
        </w:rPr>
      </w:pPr>
      <w:r w:rsidRPr="00334192">
        <w:rPr>
          <w:b/>
          <w:bCs/>
          <w:iCs/>
          <w:lang w:val="en-GB"/>
        </w:rPr>
        <w:t>Bacell</w:t>
      </w:r>
      <w:r>
        <w:rPr>
          <w:b/>
          <w:bCs/>
          <w:iCs/>
          <w:lang w:val="en-GB"/>
        </w:rPr>
        <w:t>_</w:t>
      </w:r>
      <w:r w:rsidRPr="00334192">
        <w:rPr>
          <w:b/>
          <w:bCs/>
          <w:iCs/>
          <w:lang w:val="en-GB"/>
        </w:rPr>
        <w:t>2023</w:t>
      </w:r>
      <w:r>
        <w:rPr>
          <w:b/>
          <w:bCs/>
          <w:iCs/>
          <w:lang w:val="en-GB"/>
        </w:rPr>
        <w:t>_</w:t>
      </w:r>
      <w:r w:rsidRPr="00334192">
        <w:rPr>
          <w:b/>
          <w:bCs/>
          <w:iCs/>
          <w:lang w:val="en-GB"/>
        </w:rPr>
        <w:t>registration</w:t>
      </w:r>
      <w:r>
        <w:rPr>
          <w:b/>
          <w:bCs/>
          <w:iCs/>
          <w:lang w:val="en-GB"/>
        </w:rPr>
        <w:t>_</w:t>
      </w:r>
      <w:r w:rsidRPr="00334192">
        <w:rPr>
          <w:b/>
          <w:bCs/>
          <w:iCs/>
          <w:lang w:val="en-GB"/>
        </w:rPr>
        <w:t>form_Commichau</w:t>
      </w:r>
    </w:p>
    <w:p w14:paraId="7AC65E4F" w14:textId="77777777" w:rsidR="00334192" w:rsidRDefault="00334192" w:rsidP="00334192">
      <w:pPr>
        <w:jc w:val="both"/>
        <w:rPr>
          <w:iCs/>
          <w:lang w:val="en-GB"/>
        </w:rPr>
      </w:pPr>
    </w:p>
    <w:p w14:paraId="33E916B8" w14:textId="097773EB" w:rsidR="00E60EB3" w:rsidRPr="00334192" w:rsidRDefault="00334192" w:rsidP="00334192">
      <w:pPr>
        <w:jc w:val="both"/>
        <w:rPr>
          <w:iCs/>
          <w:lang w:val="en-GB"/>
        </w:rPr>
      </w:pPr>
      <w:r>
        <w:rPr>
          <w:iCs/>
          <w:lang w:val="en-GB"/>
        </w:rPr>
        <w:t>Send it to:</w:t>
      </w:r>
      <w:r w:rsidR="007476F1" w:rsidRPr="00334192">
        <w:rPr>
          <w:iCs/>
          <w:lang w:val="en-GB"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HYPERLINK "mailto:</w:instrText>
      </w:r>
      <w:r w:rsidRPr="00334192">
        <w:rPr>
          <w:iCs/>
        </w:rPr>
        <w:instrText>bacell2023@uni-hohenheim.de</w:instrText>
      </w:r>
      <w:r>
        <w:rPr>
          <w:iCs/>
        </w:rPr>
        <w:instrText xml:space="preserve">" </w:instrText>
      </w:r>
      <w:r>
        <w:rPr>
          <w:iCs/>
        </w:rPr>
        <w:fldChar w:fldCharType="separate"/>
      </w:r>
      <w:r w:rsidRPr="00D5066B">
        <w:rPr>
          <w:rStyle w:val="Hyperlink"/>
          <w:iCs/>
        </w:rPr>
        <w:t>bacell2023@uni-hohenheim.de</w:t>
      </w:r>
      <w:r>
        <w:rPr>
          <w:iCs/>
        </w:rPr>
        <w:fldChar w:fldCharType="end"/>
      </w:r>
    </w:p>
    <w:p w14:paraId="7511BADB" w14:textId="19EBEDC1" w:rsidR="00334192" w:rsidRDefault="00334192" w:rsidP="0051463F">
      <w:pPr>
        <w:rPr>
          <w:i/>
          <w:iCs/>
          <w:lang w:val="en-GB"/>
        </w:rPr>
      </w:pPr>
    </w:p>
    <w:p w14:paraId="0B0CD37E" w14:textId="2E643AE9" w:rsidR="00FC5323" w:rsidRDefault="00FC5323" w:rsidP="0051463F">
      <w:pPr>
        <w:rPr>
          <w:lang w:val="en-GB"/>
        </w:rPr>
      </w:pPr>
      <w:r>
        <w:rPr>
          <w:lang w:val="en-GB"/>
        </w:rPr>
        <w:t xml:space="preserve">Please address any question to </w:t>
      </w:r>
      <w:hyperlink r:id="rId7" w:history="1">
        <w:r w:rsidRPr="00D5066B">
          <w:rPr>
            <w:rStyle w:val="Hyperlink"/>
            <w:lang w:val="en-GB"/>
          </w:rPr>
          <w:t>Fabian.commichau@uni-hohenheim.de</w:t>
        </w:r>
      </w:hyperlink>
    </w:p>
    <w:p w14:paraId="37E03378" w14:textId="77777777" w:rsidR="00A76BEE" w:rsidRDefault="00A76BEE" w:rsidP="006D7510">
      <w:pPr>
        <w:rPr>
          <w:b/>
          <w:lang w:val="en-GB"/>
        </w:rPr>
      </w:pPr>
    </w:p>
    <w:p w14:paraId="12D41FF1" w14:textId="77777777" w:rsidR="00564E04" w:rsidRDefault="00564E04">
      <w:pPr>
        <w:rPr>
          <w:b/>
          <w:lang w:val="en-GB"/>
        </w:rPr>
      </w:pPr>
    </w:p>
    <w:p w14:paraId="6EDA0A6F" w14:textId="3DCF32C5" w:rsidR="00564E04" w:rsidRDefault="00564E0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AA61A2A" w14:textId="37105B53" w:rsidR="00B00A4E" w:rsidRPr="008A66DA" w:rsidRDefault="001B1794" w:rsidP="008A66DA">
      <w:pPr>
        <w:jc w:val="center"/>
        <w:rPr>
          <w:rFonts w:ascii="Calibri" w:hAnsi="Calibri" w:cs="Calibri"/>
          <w:b/>
          <w:sz w:val="22"/>
          <w:szCs w:val="22"/>
        </w:rPr>
      </w:pPr>
      <w:r w:rsidRPr="008A66DA">
        <w:rPr>
          <w:rFonts w:ascii="Calibri" w:hAnsi="Calibri" w:cs="Calibri"/>
          <w:b/>
          <w:sz w:val="22"/>
          <w:szCs w:val="22"/>
        </w:rPr>
        <w:lastRenderedPageBreak/>
        <w:t xml:space="preserve">Adaptation of </w:t>
      </w:r>
      <w:r w:rsidRPr="008A66DA">
        <w:rPr>
          <w:rFonts w:ascii="Calibri" w:hAnsi="Calibri" w:cs="Calibri"/>
          <w:b/>
          <w:i/>
          <w:iCs/>
          <w:sz w:val="22"/>
          <w:szCs w:val="22"/>
        </w:rPr>
        <w:t>Listeria monocytogenes</w:t>
      </w:r>
      <w:r w:rsidRPr="008A66DA">
        <w:rPr>
          <w:rFonts w:ascii="Calibri" w:hAnsi="Calibri" w:cs="Calibri"/>
          <w:b/>
          <w:sz w:val="22"/>
          <w:szCs w:val="22"/>
        </w:rPr>
        <w:t xml:space="preserve"> to perturbation of c-di-AMP metabolism underpins its role</w:t>
      </w:r>
      <w:r w:rsidR="005C3B54" w:rsidRPr="008A66DA">
        <w:rPr>
          <w:rFonts w:ascii="Calibri" w:hAnsi="Calibri" w:cs="Calibri"/>
          <w:b/>
          <w:sz w:val="22"/>
          <w:szCs w:val="22"/>
        </w:rPr>
        <w:t xml:space="preserve"> in osmoadaptation and identifies a </w:t>
      </w:r>
      <w:proofErr w:type="spellStart"/>
      <w:r w:rsidR="005C3B54" w:rsidRPr="008A66DA">
        <w:rPr>
          <w:rFonts w:ascii="Calibri" w:hAnsi="Calibri" w:cs="Calibri"/>
          <w:b/>
          <w:sz w:val="22"/>
          <w:szCs w:val="22"/>
        </w:rPr>
        <w:t>fosfomycin</w:t>
      </w:r>
      <w:proofErr w:type="spellEnd"/>
      <w:r w:rsidR="005C3B54" w:rsidRPr="008A66DA">
        <w:rPr>
          <w:rFonts w:ascii="Calibri" w:hAnsi="Calibri" w:cs="Calibri"/>
          <w:b/>
          <w:sz w:val="22"/>
          <w:szCs w:val="22"/>
        </w:rPr>
        <w:t xml:space="preserve"> uptake system</w:t>
      </w:r>
    </w:p>
    <w:p w14:paraId="0DA65A2B" w14:textId="77777777" w:rsidR="00B00A4E" w:rsidRPr="008A66DA" w:rsidRDefault="00B00A4E" w:rsidP="00B00A4E">
      <w:pPr>
        <w:rPr>
          <w:rFonts w:ascii="Calibri" w:hAnsi="Calibri" w:cs="Calibri"/>
          <w:b/>
          <w:sz w:val="20"/>
          <w:szCs w:val="20"/>
        </w:rPr>
      </w:pPr>
    </w:p>
    <w:p w14:paraId="653A7FCD" w14:textId="0146A14B" w:rsidR="00B00A4E" w:rsidRPr="008A66DA" w:rsidRDefault="00B00A4E" w:rsidP="00B00A4E">
      <w:pPr>
        <w:rPr>
          <w:rFonts w:ascii="Calibri" w:hAnsi="Calibri" w:cs="Calibri"/>
          <w:b/>
          <w:bCs/>
          <w:sz w:val="20"/>
          <w:szCs w:val="20"/>
          <w:lang w:val="de-DE"/>
        </w:rPr>
      </w:pPr>
      <w:r w:rsidRPr="008A66DA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Inge Schwedt</w:t>
      </w:r>
      <w:r w:rsidRPr="008A66DA">
        <w:rPr>
          <w:rFonts w:ascii="Calibri" w:hAnsi="Calibri" w:cs="Calibri"/>
          <w:b/>
          <w:bCs/>
          <w:sz w:val="20"/>
          <w:szCs w:val="20"/>
          <w:lang w:val="de-DE"/>
        </w:rPr>
        <w:t xml:space="preserve">, </w:t>
      </w:r>
      <w:proofErr w:type="spellStart"/>
      <w:r w:rsidRPr="008A66DA">
        <w:rPr>
          <w:rFonts w:ascii="Calibri" w:hAnsi="Calibri" w:cs="Calibri"/>
          <w:b/>
          <w:bCs/>
          <w:sz w:val="20"/>
          <w:szCs w:val="20"/>
          <w:lang w:val="de-DE"/>
        </w:rPr>
        <w:t>Mengyi</w:t>
      </w:r>
      <w:proofErr w:type="spellEnd"/>
      <w:r w:rsidRPr="008A66DA">
        <w:rPr>
          <w:rFonts w:ascii="Calibri" w:hAnsi="Calibri" w:cs="Calibri"/>
          <w:b/>
          <w:bCs/>
          <w:sz w:val="20"/>
          <w:szCs w:val="20"/>
          <w:lang w:val="de-DE"/>
        </w:rPr>
        <w:t xml:space="preserve"> Wang, Fabian M. Commichau</w:t>
      </w:r>
    </w:p>
    <w:p w14:paraId="1045DB14" w14:textId="7406A484" w:rsidR="00B00A4E" w:rsidRPr="008A66DA" w:rsidRDefault="00B00A4E" w:rsidP="00B00A4E">
      <w:pPr>
        <w:rPr>
          <w:rFonts w:ascii="Calibri" w:hAnsi="Calibri" w:cs="Calibri"/>
          <w:iCs/>
          <w:sz w:val="20"/>
          <w:szCs w:val="20"/>
        </w:rPr>
      </w:pPr>
      <w:r w:rsidRPr="008A66DA">
        <w:rPr>
          <w:rFonts w:ascii="Calibri" w:hAnsi="Calibri" w:cs="Calibri"/>
          <w:iCs/>
          <w:sz w:val="20"/>
          <w:szCs w:val="20"/>
        </w:rPr>
        <w:t>Institut</w:t>
      </w:r>
      <w:r w:rsidR="005C3B54" w:rsidRPr="008A66DA">
        <w:rPr>
          <w:rFonts w:ascii="Calibri" w:hAnsi="Calibri" w:cs="Calibri"/>
          <w:iCs/>
          <w:sz w:val="20"/>
          <w:szCs w:val="20"/>
        </w:rPr>
        <w:t>e</w:t>
      </w:r>
      <w:r w:rsidRPr="008A66DA">
        <w:rPr>
          <w:rFonts w:ascii="Calibri" w:hAnsi="Calibri" w:cs="Calibri"/>
          <w:iCs/>
          <w:sz w:val="20"/>
          <w:szCs w:val="20"/>
        </w:rPr>
        <w:t xml:space="preserve"> </w:t>
      </w:r>
      <w:r w:rsidR="005C3B54" w:rsidRPr="008A66DA">
        <w:rPr>
          <w:rFonts w:ascii="Calibri" w:hAnsi="Calibri" w:cs="Calibri"/>
          <w:iCs/>
          <w:sz w:val="20"/>
          <w:szCs w:val="20"/>
        </w:rPr>
        <w:t>for</w:t>
      </w:r>
      <w:r w:rsidRPr="008A66DA">
        <w:rPr>
          <w:rFonts w:ascii="Calibri" w:hAnsi="Calibri" w:cs="Calibri"/>
          <w:iCs/>
          <w:sz w:val="20"/>
          <w:szCs w:val="20"/>
        </w:rPr>
        <w:t xml:space="preserve"> Biolog</w:t>
      </w:r>
      <w:r w:rsidR="005C3B54" w:rsidRPr="008A66DA">
        <w:rPr>
          <w:rFonts w:ascii="Calibri" w:hAnsi="Calibri" w:cs="Calibri"/>
          <w:iCs/>
          <w:sz w:val="20"/>
          <w:szCs w:val="20"/>
        </w:rPr>
        <w:t>y</w:t>
      </w:r>
      <w:r w:rsidRPr="008A66DA">
        <w:rPr>
          <w:rFonts w:ascii="Calibri" w:hAnsi="Calibri" w:cs="Calibri"/>
          <w:iCs/>
          <w:sz w:val="20"/>
          <w:szCs w:val="20"/>
        </w:rPr>
        <w:t>, FG Mole</w:t>
      </w:r>
      <w:r w:rsidR="005C3B54" w:rsidRPr="008A66DA">
        <w:rPr>
          <w:rFonts w:ascii="Calibri" w:hAnsi="Calibri" w:cs="Calibri"/>
          <w:iCs/>
          <w:sz w:val="20"/>
          <w:szCs w:val="20"/>
        </w:rPr>
        <w:t>c</w:t>
      </w:r>
      <w:r w:rsidRPr="008A66DA">
        <w:rPr>
          <w:rFonts w:ascii="Calibri" w:hAnsi="Calibri" w:cs="Calibri"/>
          <w:iCs/>
          <w:sz w:val="20"/>
          <w:szCs w:val="20"/>
        </w:rPr>
        <w:t>ular Mi</w:t>
      </w:r>
      <w:r w:rsidR="005C3B54" w:rsidRPr="008A66DA">
        <w:rPr>
          <w:rFonts w:ascii="Calibri" w:hAnsi="Calibri" w:cs="Calibri"/>
          <w:iCs/>
          <w:sz w:val="20"/>
          <w:szCs w:val="20"/>
        </w:rPr>
        <w:t>c</w:t>
      </w:r>
      <w:r w:rsidRPr="008A66DA">
        <w:rPr>
          <w:rFonts w:ascii="Calibri" w:hAnsi="Calibri" w:cs="Calibri"/>
          <w:iCs/>
          <w:sz w:val="20"/>
          <w:szCs w:val="20"/>
        </w:rPr>
        <w:t>robiolog</w:t>
      </w:r>
      <w:r w:rsidR="005C3B54" w:rsidRPr="008A66DA">
        <w:rPr>
          <w:rFonts w:ascii="Calibri" w:hAnsi="Calibri" w:cs="Calibri"/>
          <w:iCs/>
          <w:sz w:val="20"/>
          <w:szCs w:val="20"/>
        </w:rPr>
        <w:t>y</w:t>
      </w:r>
      <w:r w:rsidRPr="008A66DA">
        <w:rPr>
          <w:rFonts w:ascii="Calibri" w:hAnsi="Calibri" w:cs="Calibri"/>
          <w:iCs/>
          <w:sz w:val="20"/>
          <w:szCs w:val="20"/>
        </w:rPr>
        <w:t>, Universit</w:t>
      </w:r>
      <w:r w:rsidR="005C3B54" w:rsidRPr="008A66DA">
        <w:rPr>
          <w:rFonts w:ascii="Calibri" w:hAnsi="Calibri" w:cs="Calibri"/>
          <w:iCs/>
          <w:sz w:val="20"/>
          <w:szCs w:val="20"/>
        </w:rPr>
        <w:t>y of</w:t>
      </w:r>
      <w:r w:rsidRPr="008A66DA">
        <w:rPr>
          <w:rFonts w:ascii="Calibri" w:hAnsi="Calibri" w:cs="Calibri"/>
          <w:iCs/>
          <w:sz w:val="20"/>
          <w:szCs w:val="20"/>
        </w:rPr>
        <w:t xml:space="preserve"> Hohenheim, 70599 Stuttgart</w:t>
      </w:r>
      <w:r w:rsidRPr="008A66DA">
        <w:rPr>
          <w:rFonts w:ascii="Calibri" w:hAnsi="Calibri" w:cs="Calibri"/>
          <w:iCs/>
          <w:sz w:val="20"/>
          <w:szCs w:val="20"/>
        </w:rPr>
        <w:t>, Germany</w:t>
      </w:r>
    </w:p>
    <w:p w14:paraId="62F24E8D" w14:textId="4090C26E" w:rsidR="00B00A4E" w:rsidRPr="008A66DA" w:rsidRDefault="00B00A4E" w:rsidP="00B00A4E">
      <w:pPr>
        <w:rPr>
          <w:rStyle w:val="Hyperlink"/>
          <w:rFonts w:ascii="Calibri" w:hAnsi="Calibri" w:cs="Calibri"/>
          <w:iCs/>
          <w:color w:val="000000"/>
          <w:sz w:val="20"/>
          <w:szCs w:val="20"/>
          <w:u w:val="none"/>
          <w:lang w:val="de-DE"/>
        </w:rPr>
      </w:pPr>
      <w:hyperlink r:id="rId8" w:history="1">
        <w:r w:rsidRPr="008A66DA">
          <w:rPr>
            <w:rStyle w:val="Hyperlink"/>
            <w:rFonts w:ascii="Calibri" w:hAnsi="Calibri" w:cs="Calibri"/>
            <w:iCs/>
            <w:sz w:val="20"/>
            <w:szCs w:val="20"/>
            <w:lang w:val="de-DE"/>
          </w:rPr>
          <w:t>inge.schwedt@</w:t>
        </w:r>
        <w:r w:rsidRPr="008A66DA">
          <w:rPr>
            <w:rStyle w:val="Hyperlink"/>
            <w:rFonts w:ascii="Calibri" w:hAnsi="Calibri" w:cs="Calibri"/>
            <w:iCs/>
            <w:sz w:val="20"/>
            <w:szCs w:val="20"/>
            <w:lang w:val="de-DE"/>
          </w:rPr>
          <w:t>uni-hohenheim.de</w:t>
        </w:r>
      </w:hyperlink>
    </w:p>
    <w:p w14:paraId="04BC7196" w14:textId="77777777" w:rsidR="00B00A4E" w:rsidRPr="008A66DA" w:rsidRDefault="00B00A4E" w:rsidP="00B00A4E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14:paraId="4C5E2C5B" w14:textId="77777777" w:rsidR="00B00A4E" w:rsidRPr="008A66DA" w:rsidRDefault="00B00A4E" w:rsidP="00B00A4E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A66DA">
        <w:rPr>
          <w:rFonts w:ascii="Calibri" w:hAnsi="Calibri" w:cs="Calibri"/>
          <w:sz w:val="20"/>
          <w:szCs w:val="20"/>
        </w:rPr>
        <w:t xml:space="preserve">c-di-AMP controls osmolyte homeostasis in several bacteria, including </w:t>
      </w:r>
      <w:r w:rsidRPr="008A66DA">
        <w:rPr>
          <w:rFonts w:ascii="Calibri" w:hAnsi="Calibri" w:cs="Calibri"/>
          <w:i/>
          <w:iCs/>
          <w:sz w:val="20"/>
          <w:szCs w:val="20"/>
        </w:rPr>
        <w:t>Listeria monocytogenes</w:t>
      </w:r>
      <w:r w:rsidRPr="008A66DA">
        <w:rPr>
          <w:rFonts w:ascii="Calibri" w:hAnsi="Calibri" w:cs="Calibri"/>
          <w:sz w:val="20"/>
          <w:szCs w:val="20"/>
        </w:rPr>
        <w:t xml:space="preserve"> (1,2). c-di-AMP also indirectly stimulates the DNA-binding activity of </w:t>
      </w:r>
      <w:proofErr w:type="spellStart"/>
      <w:r w:rsidRPr="008A66DA">
        <w:rPr>
          <w:rFonts w:ascii="Calibri" w:hAnsi="Calibri" w:cs="Calibri"/>
          <w:sz w:val="20"/>
          <w:szCs w:val="20"/>
        </w:rPr>
        <w:t>CodY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, which negatively controls the expression of genes required for adaptation to nutrient limitation (3). In </w:t>
      </w:r>
      <w:r w:rsidRPr="008A66DA">
        <w:rPr>
          <w:rFonts w:ascii="Calibri" w:hAnsi="Calibri" w:cs="Calibri"/>
          <w:i/>
          <w:iCs/>
          <w:sz w:val="20"/>
          <w:szCs w:val="20"/>
        </w:rPr>
        <w:t>L. monocytogenes</w:t>
      </w:r>
      <w:r w:rsidRPr="008A66DA">
        <w:rPr>
          <w:rFonts w:ascii="Calibri" w:hAnsi="Calibri" w:cs="Calibri"/>
          <w:sz w:val="20"/>
          <w:szCs w:val="20"/>
        </w:rPr>
        <w:t xml:space="preserve">, c-di-AMP is synthesized by the diadenylate cyclase CdaA and degraded by the phosphodiesterases </w:t>
      </w:r>
      <w:proofErr w:type="spellStart"/>
      <w:r w:rsidRPr="008A66DA">
        <w:rPr>
          <w:rFonts w:ascii="Calibri" w:hAnsi="Calibri" w:cs="Calibri"/>
          <w:sz w:val="20"/>
          <w:szCs w:val="20"/>
        </w:rPr>
        <w:t>GdpP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and PgpH (4). c-di-AMP is essential for growth because it prevents uncontrolled uptake of osmolytes. Elevated cellular c-di-AMP concentrations are also often associated with increased resistance of bacteria to cell wall-targeting antibiotics (2). To get further insights into the cellular role of c-di-AMP in </w:t>
      </w:r>
      <w:r w:rsidRPr="008A66DA">
        <w:rPr>
          <w:rFonts w:ascii="Calibri" w:hAnsi="Calibri" w:cs="Calibri"/>
          <w:i/>
          <w:iCs/>
          <w:sz w:val="20"/>
          <w:szCs w:val="20"/>
        </w:rPr>
        <w:t>L. monocytogenes</w:t>
      </w:r>
      <w:r w:rsidRPr="008A66DA">
        <w:rPr>
          <w:rFonts w:ascii="Calibri" w:hAnsi="Calibri" w:cs="Calibri"/>
          <w:sz w:val="20"/>
          <w:szCs w:val="20"/>
        </w:rPr>
        <w:t xml:space="preserve">, we studied the phenotypes of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r w:rsidRPr="008A66DA">
        <w:rPr>
          <w:rFonts w:ascii="Calibri" w:hAnsi="Calibri" w:cs="Calibri"/>
          <w:i/>
          <w:iCs/>
          <w:sz w:val="20"/>
          <w:szCs w:val="20"/>
        </w:rPr>
        <w:t>cdaA</w:t>
      </w:r>
      <w:r w:rsidRPr="008A66DA">
        <w:rPr>
          <w:rFonts w:ascii="Calibri" w:hAnsi="Calibri" w:cs="Calibri"/>
          <w:sz w:val="20"/>
          <w:szCs w:val="20"/>
        </w:rPr>
        <w:t xml:space="preserve"> and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gdpP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pgpH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mutants and characterized suppressor mutants derived from them. We identified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r w:rsidRPr="008A66DA">
        <w:rPr>
          <w:rFonts w:ascii="Calibri" w:hAnsi="Calibri" w:cs="Calibri"/>
          <w:i/>
          <w:iCs/>
          <w:sz w:val="20"/>
          <w:szCs w:val="20"/>
        </w:rPr>
        <w:t xml:space="preserve">cdaA </w:t>
      </w:r>
      <w:r w:rsidRPr="008A66DA">
        <w:rPr>
          <w:rFonts w:ascii="Calibri" w:hAnsi="Calibri" w:cs="Calibri"/>
          <w:sz w:val="20"/>
          <w:szCs w:val="20"/>
        </w:rPr>
        <w:t xml:space="preserve">suppressor mutants that can be assigned to two different classes. In the first class of mutants carrying mutations in the </w:t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relA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(p)</w:t>
      </w:r>
      <w:proofErr w:type="spellStart"/>
      <w:r w:rsidRPr="008A66DA">
        <w:rPr>
          <w:rFonts w:ascii="Calibri" w:hAnsi="Calibri" w:cs="Calibri"/>
          <w:sz w:val="20"/>
          <w:szCs w:val="20"/>
        </w:rPr>
        <w:t>ppGpp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synthase gene, the </w:t>
      </w:r>
      <w:proofErr w:type="spellStart"/>
      <w:r w:rsidRPr="008A66DA">
        <w:rPr>
          <w:rFonts w:ascii="Calibri" w:hAnsi="Calibri" w:cs="Calibri"/>
          <w:sz w:val="20"/>
          <w:szCs w:val="20"/>
        </w:rPr>
        <w:t>CodY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regulon was affected. These mutants turned out to be sensitive to </w:t>
      </w:r>
      <w:proofErr w:type="spellStart"/>
      <w:r w:rsidRPr="008A66DA">
        <w:rPr>
          <w:rFonts w:ascii="Calibri" w:hAnsi="Calibri" w:cs="Calibri"/>
          <w:sz w:val="20"/>
          <w:szCs w:val="20"/>
        </w:rPr>
        <w:t>fosfomycin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, which inhibits peptidoglycan biosynthesis. In the second class of mutants, the </w:t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opp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oligopeptide transporter genes were inactivated, resulting in a </w:t>
      </w:r>
      <w:proofErr w:type="spellStart"/>
      <w:r w:rsidRPr="008A66DA">
        <w:rPr>
          <w:rFonts w:ascii="Calibri" w:hAnsi="Calibri" w:cs="Calibri"/>
          <w:sz w:val="20"/>
          <w:szCs w:val="20"/>
        </w:rPr>
        <w:t>fosfomycin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-resistant phenotype. Thus, the suppressor analysis identified a major route </w:t>
      </w:r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for </w:t>
      </w:r>
      <w:proofErr w:type="spellStart"/>
      <w:r w:rsidRPr="008A66DA">
        <w:rPr>
          <w:rFonts w:ascii="Calibri" w:hAnsi="Calibri" w:cs="Calibri"/>
          <w:color w:val="000000" w:themeColor="text1"/>
          <w:sz w:val="20"/>
          <w:szCs w:val="20"/>
        </w:rPr>
        <w:t>fosfomycin</w:t>
      </w:r>
      <w:proofErr w:type="spellEnd"/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 uptake. We also observed that casamino acids and isoleucine are toxic for the </w:t>
      </w:r>
      <w:r w:rsidRPr="008A66DA">
        <w:rPr>
          <w:rFonts w:ascii="Calibri" w:hAnsi="Calibri" w:cs="Calibri"/>
          <w:color w:val="000000" w:themeColor="text1"/>
          <w:sz w:val="20"/>
          <w:szCs w:val="20"/>
        </w:rPr>
        <w:sym w:font="Symbol" w:char="F044"/>
      </w:r>
      <w:r w:rsidRPr="008A66D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cdaA </w:t>
      </w:r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mutant. A subsequent suppressor screen revealed that isoleucine toxicity is readily relieved by mutations in the </w:t>
      </w:r>
      <w:proofErr w:type="spellStart"/>
      <w:r w:rsidRPr="008A66DA">
        <w:rPr>
          <w:rFonts w:ascii="Calibri" w:hAnsi="Calibri" w:cs="Calibri"/>
          <w:i/>
          <w:iCs/>
          <w:color w:val="000000" w:themeColor="text1"/>
          <w:sz w:val="20"/>
          <w:szCs w:val="20"/>
        </w:rPr>
        <w:t>codY</w:t>
      </w:r>
      <w:proofErr w:type="spellEnd"/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 gene. The encoded </w:t>
      </w:r>
      <w:proofErr w:type="spellStart"/>
      <w:r w:rsidRPr="008A66DA">
        <w:rPr>
          <w:rFonts w:ascii="Calibri" w:hAnsi="Calibri" w:cs="Calibri"/>
          <w:color w:val="000000" w:themeColor="text1"/>
          <w:sz w:val="20"/>
          <w:szCs w:val="20"/>
        </w:rPr>
        <w:t>CodY</w:t>
      </w:r>
      <w:proofErr w:type="spellEnd"/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 variants are less responsive to isoleucine and have reduced DNA binding activity. Thus, a c-di-AMP-free strain shows increased uptake of isoleucine, which in turns leads to </w:t>
      </w:r>
      <w:proofErr w:type="spellStart"/>
      <w:r w:rsidRPr="008A66DA">
        <w:rPr>
          <w:rFonts w:ascii="Calibri" w:hAnsi="Calibri" w:cs="Calibri"/>
          <w:color w:val="000000" w:themeColor="text1"/>
          <w:sz w:val="20"/>
          <w:szCs w:val="20"/>
        </w:rPr>
        <w:t>CodY</w:t>
      </w:r>
      <w:proofErr w:type="spellEnd"/>
      <w:r w:rsidRPr="008A66DA">
        <w:rPr>
          <w:rFonts w:ascii="Calibri" w:hAnsi="Calibri" w:cs="Calibri"/>
          <w:color w:val="000000" w:themeColor="text1"/>
          <w:sz w:val="20"/>
          <w:szCs w:val="20"/>
        </w:rPr>
        <w:t xml:space="preserve"> hyperactivity. </w:t>
      </w:r>
      <w:r w:rsidRPr="008A66DA">
        <w:rPr>
          <w:rFonts w:ascii="Calibri" w:hAnsi="Calibri" w:cs="Calibri"/>
          <w:sz w:val="20"/>
          <w:szCs w:val="20"/>
        </w:rPr>
        <w:t xml:space="preserve">The characterization of the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gdpP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</w:t>
      </w:r>
      <w:r w:rsidRPr="008A66DA">
        <w:rPr>
          <w:rFonts w:ascii="Calibri" w:hAnsi="Calibri" w:cs="Calibri"/>
          <w:sz w:val="20"/>
          <w:szCs w:val="20"/>
        </w:rPr>
        <w:sym w:font="Symbol" w:char="F044"/>
      </w:r>
      <w:proofErr w:type="spellStart"/>
      <w:r w:rsidRPr="008A66DA">
        <w:rPr>
          <w:rFonts w:ascii="Calibri" w:hAnsi="Calibri" w:cs="Calibri"/>
          <w:i/>
          <w:iCs/>
          <w:sz w:val="20"/>
          <w:szCs w:val="20"/>
        </w:rPr>
        <w:t>pgpH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 mutant revealed that the bacteria are </w:t>
      </w:r>
      <w:proofErr w:type="spellStart"/>
      <w:r w:rsidRPr="008A66DA">
        <w:rPr>
          <w:rFonts w:ascii="Calibri" w:hAnsi="Calibri" w:cs="Calibri"/>
          <w:sz w:val="20"/>
          <w:szCs w:val="20"/>
        </w:rPr>
        <w:t>osmosensitive</w:t>
      </w:r>
      <w:proofErr w:type="spellEnd"/>
      <w:r w:rsidRPr="008A66DA">
        <w:rPr>
          <w:rFonts w:ascii="Calibri" w:hAnsi="Calibri" w:cs="Calibri"/>
          <w:sz w:val="20"/>
          <w:szCs w:val="20"/>
        </w:rPr>
        <w:t xml:space="preserve">, a phenotype that is invariably suppressed by the acquisition of loss-of-function mutations in the </w:t>
      </w:r>
      <w:r w:rsidRPr="008A66DA">
        <w:rPr>
          <w:rFonts w:ascii="Calibri" w:hAnsi="Calibri" w:cs="Calibri"/>
          <w:i/>
          <w:iCs/>
          <w:sz w:val="20"/>
          <w:szCs w:val="20"/>
        </w:rPr>
        <w:t>cdaA</w:t>
      </w:r>
      <w:r w:rsidRPr="008A66DA">
        <w:rPr>
          <w:rFonts w:ascii="Calibri" w:hAnsi="Calibri" w:cs="Calibri"/>
          <w:sz w:val="20"/>
          <w:szCs w:val="20"/>
        </w:rPr>
        <w:t xml:space="preserve"> diadenylate cyclase gene. </w:t>
      </w:r>
      <w:r w:rsidRPr="008A66DA">
        <w:rPr>
          <w:rFonts w:ascii="Calibri" w:hAnsi="Calibri" w:cs="Calibri"/>
          <w:sz w:val="20"/>
          <w:szCs w:val="20"/>
          <w:lang w:val="en-GB"/>
        </w:rPr>
        <w:t xml:space="preserve">The </w:t>
      </w:r>
      <w:proofErr w:type="gramStart"/>
      <w:r w:rsidRPr="008A66DA">
        <w:rPr>
          <w:rFonts w:ascii="Calibri" w:hAnsi="Calibri" w:cs="Calibri"/>
          <w:sz w:val="20"/>
          <w:szCs w:val="20"/>
          <w:lang w:val="en-GB"/>
        </w:rPr>
        <w:t>current status</w:t>
      </w:r>
      <w:proofErr w:type="gramEnd"/>
      <w:r w:rsidRPr="008A66DA">
        <w:rPr>
          <w:rFonts w:ascii="Calibri" w:hAnsi="Calibri" w:cs="Calibri"/>
          <w:sz w:val="20"/>
          <w:szCs w:val="20"/>
          <w:lang w:val="en-GB"/>
        </w:rPr>
        <w:t xml:space="preserve"> of the project will be presented (5).</w:t>
      </w:r>
    </w:p>
    <w:p w14:paraId="53D886FC" w14:textId="77777777" w:rsidR="00B00A4E" w:rsidRPr="008A66DA" w:rsidRDefault="00B00A4E" w:rsidP="00B00A4E">
      <w:pPr>
        <w:jc w:val="both"/>
        <w:rPr>
          <w:rFonts w:ascii="Calibri" w:hAnsi="Calibri" w:cs="Calibri"/>
          <w:sz w:val="20"/>
          <w:szCs w:val="20"/>
        </w:rPr>
      </w:pPr>
    </w:p>
    <w:p w14:paraId="34BF48EA" w14:textId="77777777" w:rsidR="00B00A4E" w:rsidRPr="008A66DA" w:rsidRDefault="00B00A4E" w:rsidP="00B00A4E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A66DA">
        <w:rPr>
          <w:rFonts w:ascii="Calibri" w:hAnsi="Calibri" w:cs="Calibri"/>
          <w:color w:val="000000"/>
          <w:sz w:val="20"/>
          <w:szCs w:val="20"/>
        </w:rPr>
        <w:t xml:space="preserve">(1) Stülke, J. and L. </w:t>
      </w:r>
      <w:proofErr w:type="spellStart"/>
      <w:r w:rsidRPr="008A66DA">
        <w:rPr>
          <w:rFonts w:ascii="Calibri" w:hAnsi="Calibri" w:cs="Calibri"/>
          <w:color w:val="000000"/>
          <w:sz w:val="20"/>
          <w:szCs w:val="20"/>
        </w:rPr>
        <w:t>Krüger</w:t>
      </w:r>
      <w:proofErr w:type="spellEnd"/>
      <w:r w:rsidRPr="008A66DA">
        <w:rPr>
          <w:rFonts w:ascii="Calibri" w:hAnsi="Calibri" w:cs="Calibri"/>
          <w:color w:val="000000"/>
          <w:sz w:val="20"/>
          <w:szCs w:val="20"/>
        </w:rPr>
        <w:t xml:space="preserve"> (2020) </w:t>
      </w:r>
      <w:proofErr w:type="spellStart"/>
      <w:r w:rsidRPr="008A66DA">
        <w:rPr>
          <w:rFonts w:ascii="Calibri" w:hAnsi="Calibri" w:cs="Calibri"/>
          <w:color w:val="000000"/>
          <w:sz w:val="20"/>
          <w:szCs w:val="20"/>
        </w:rPr>
        <w:t>Annu</w:t>
      </w:r>
      <w:proofErr w:type="spellEnd"/>
      <w:r w:rsidRPr="008A66DA">
        <w:rPr>
          <w:rFonts w:ascii="Calibri" w:hAnsi="Calibri" w:cs="Calibri"/>
          <w:color w:val="000000"/>
          <w:sz w:val="20"/>
          <w:szCs w:val="20"/>
        </w:rPr>
        <w:t>. Rev. Microbiol. 8: 159-179.</w:t>
      </w:r>
    </w:p>
    <w:p w14:paraId="295D0AE8" w14:textId="77777777" w:rsidR="00B00A4E" w:rsidRPr="008A66DA" w:rsidRDefault="00B00A4E" w:rsidP="00B00A4E">
      <w:pPr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8A66DA">
        <w:rPr>
          <w:rFonts w:ascii="Calibri" w:hAnsi="Calibri" w:cs="Calibri"/>
          <w:color w:val="000000"/>
          <w:sz w:val="20"/>
          <w:szCs w:val="20"/>
        </w:rPr>
        <w:t xml:space="preserve">(2) Commichau, F.M., et al. </w:t>
      </w:r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>(2018) Trends Microbiol. 26: 175-185.</w:t>
      </w:r>
    </w:p>
    <w:p w14:paraId="71782E36" w14:textId="77777777" w:rsidR="00B00A4E" w:rsidRPr="008A66DA" w:rsidRDefault="00B00A4E" w:rsidP="00B00A4E">
      <w:pPr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 xml:space="preserve">(3) Peterson, B. N., et al. (2020) </w:t>
      </w:r>
      <w:proofErr w:type="spellStart"/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>MBio</w:t>
      </w:r>
      <w:proofErr w:type="spellEnd"/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>. 11: e01625-20.</w:t>
      </w:r>
    </w:p>
    <w:p w14:paraId="2A91B5D8" w14:textId="77777777" w:rsidR="00B00A4E" w:rsidRPr="008A66DA" w:rsidRDefault="00B00A4E" w:rsidP="00B00A4E">
      <w:pPr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 xml:space="preserve">(4) Commichau, F. M., et al. (2019) J. </w:t>
      </w:r>
      <w:proofErr w:type="spellStart"/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>Bacteriol</w:t>
      </w:r>
      <w:proofErr w:type="spellEnd"/>
      <w:r w:rsidRPr="008A66DA">
        <w:rPr>
          <w:rFonts w:ascii="Calibri" w:hAnsi="Calibri" w:cs="Calibri"/>
          <w:color w:val="000000"/>
          <w:sz w:val="20"/>
          <w:szCs w:val="20"/>
          <w:lang w:val="de-DE"/>
        </w:rPr>
        <w:t>. 201: e00462-18.</w:t>
      </w:r>
    </w:p>
    <w:p w14:paraId="32F9EC6C" w14:textId="1EAD5981" w:rsidR="00B00A4E" w:rsidRPr="008A66DA" w:rsidRDefault="00B00A4E" w:rsidP="00B00A4E">
      <w:pPr>
        <w:jc w:val="both"/>
        <w:rPr>
          <w:rFonts w:ascii="Calibri" w:hAnsi="Calibri" w:cs="Calibri"/>
          <w:sz w:val="20"/>
          <w:szCs w:val="20"/>
        </w:rPr>
      </w:pPr>
      <w:r w:rsidRPr="008A66DA">
        <w:rPr>
          <w:rFonts w:ascii="Calibri" w:hAnsi="Calibri" w:cs="Calibri"/>
          <w:sz w:val="20"/>
          <w:szCs w:val="20"/>
          <w:lang w:val="de-DE"/>
        </w:rPr>
        <w:t xml:space="preserve">(5) Wang, M., et al. </w:t>
      </w:r>
      <w:r w:rsidRPr="008A66DA">
        <w:rPr>
          <w:rFonts w:ascii="Calibri" w:hAnsi="Calibri" w:cs="Calibri"/>
          <w:sz w:val="20"/>
          <w:szCs w:val="20"/>
        </w:rPr>
        <w:t xml:space="preserve">(2022) Environ. Microbiol. </w:t>
      </w:r>
      <w:r w:rsidR="005C3B54" w:rsidRPr="008A66DA">
        <w:rPr>
          <w:rFonts w:ascii="Calibri" w:hAnsi="Calibri" w:cs="Calibri"/>
          <w:sz w:val="20"/>
          <w:szCs w:val="20"/>
        </w:rPr>
        <w:t>24: 4466-4488.</w:t>
      </w:r>
    </w:p>
    <w:p w14:paraId="50DB7F84" w14:textId="77777777" w:rsidR="00564E04" w:rsidRPr="008A66DA" w:rsidRDefault="00564E04">
      <w:pPr>
        <w:rPr>
          <w:rFonts w:ascii="Calibri" w:hAnsi="Calibri" w:cs="Calibri"/>
          <w:b/>
          <w:sz w:val="20"/>
          <w:szCs w:val="20"/>
          <w:lang w:val="en-GB"/>
        </w:rPr>
      </w:pPr>
    </w:p>
    <w:sectPr w:rsidR="00564E04" w:rsidRPr="008A66DA" w:rsidSect="004C192E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ADB6" w14:textId="77777777" w:rsidR="00447B5F" w:rsidRDefault="00447B5F" w:rsidP="007D201A">
      <w:r>
        <w:separator/>
      </w:r>
    </w:p>
  </w:endnote>
  <w:endnote w:type="continuationSeparator" w:id="0">
    <w:p w14:paraId="6AF2C530" w14:textId="77777777" w:rsidR="00447B5F" w:rsidRDefault="00447B5F" w:rsidP="007D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27037223"/>
      <w:docPartObj>
        <w:docPartGallery w:val="Page Numbers (Bottom of Page)"/>
        <w:docPartUnique/>
      </w:docPartObj>
    </w:sdtPr>
    <w:sdtContent>
      <w:p w14:paraId="29265245" w14:textId="287C8910" w:rsidR="00C274B8" w:rsidRDefault="00C274B8" w:rsidP="00D5066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EFDE0C" w14:textId="77777777" w:rsidR="00C274B8" w:rsidRDefault="00C274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7943222"/>
      <w:docPartObj>
        <w:docPartGallery w:val="Page Numbers (Bottom of Page)"/>
        <w:docPartUnique/>
      </w:docPartObj>
    </w:sdtPr>
    <w:sdtContent>
      <w:p w14:paraId="3E50B048" w14:textId="31CDD2FB" w:rsidR="00C274B8" w:rsidRDefault="00C274B8" w:rsidP="00D5066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CFE2EA7" w14:textId="77777777" w:rsidR="00C274B8" w:rsidRDefault="00C27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6BAF" w14:textId="77777777" w:rsidR="00447B5F" w:rsidRDefault="00447B5F" w:rsidP="007D201A">
      <w:r>
        <w:separator/>
      </w:r>
    </w:p>
  </w:footnote>
  <w:footnote w:type="continuationSeparator" w:id="0">
    <w:p w14:paraId="38D6AEBC" w14:textId="77777777" w:rsidR="00447B5F" w:rsidRDefault="00447B5F" w:rsidP="007D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3D4"/>
    <w:multiLevelType w:val="hybridMultilevel"/>
    <w:tmpl w:val="7CFC5EE4"/>
    <w:lvl w:ilvl="0" w:tplc="54E662E4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7A"/>
    <w:rsid w:val="000F2280"/>
    <w:rsid w:val="00104C92"/>
    <w:rsid w:val="001438A2"/>
    <w:rsid w:val="001B1794"/>
    <w:rsid w:val="001E584F"/>
    <w:rsid w:val="002864C8"/>
    <w:rsid w:val="00295971"/>
    <w:rsid w:val="002B7E0F"/>
    <w:rsid w:val="002E7C6D"/>
    <w:rsid w:val="00300B9A"/>
    <w:rsid w:val="00334192"/>
    <w:rsid w:val="003A1487"/>
    <w:rsid w:val="003E36A3"/>
    <w:rsid w:val="00437D44"/>
    <w:rsid w:val="00447B5F"/>
    <w:rsid w:val="00454DD1"/>
    <w:rsid w:val="004642D7"/>
    <w:rsid w:val="004C192E"/>
    <w:rsid w:val="004D11AE"/>
    <w:rsid w:val="0051463F"/>
    <w:rsid w:val="005529B2"/>
    <w:rsid w:val="00563449"/>
    <w:rsid w:val="00564E04"/>
    <w:rsid w:val="00581C7F"/>
    <w:rsid w:val="005C3B54"/>
    <w:rsid w:val="005C6D44"/>
    <w:rsid w:val="005D5ADE"/>
    <w:rsid w:val="006D7510"/>
    <w:rsid w:val="007269BE"/>
    <w:rsid w:val="0073022A"/>
    <w:rsid w:val="007476F1"/>
    <w:rsid w:val="0075611A"/>
    <w:rsid w:val="007D201A"/>
    <w:rsid w:val="007D6FD7"/>
    <w:rsid w:val="007E6CA2"/>
    <w:rsid w:val="008449C0"/>
    <w:rsid w:val="00883A1C"/>
    <w:rsid w:val="00892F69"/>
    <w:rsid w:val="008A66DA"/>
    <w:rsid w:val="00950437"/>
    <w:rsid w:val="0095660D"/>
    <w:rsid w:val="009B5AA5"/>
    <w:rsid w:val="009D58AD"/>
    <w:rsid w:val="009F158D"/>
    <w:rsid w:val="009F2F3E"/>
    <w:rsid w:val="00A45E6B"/>
    <w:rsid w:val="00A76BEE"/>
    <w:rsid w:val="00A83757"/>
    <w:rsid w:val="00A9223F"/>
    <w:rsid w:val="00B00A4E"/>
    <w:rsid w:val="00B22512"/>
    <w:rsid w:val="00C274B8"/>
    <w:rsid w:val="00C42548"/>
    <w:rsid w:val="00CA67F1"/>
    <w:rsid w:val="00D176F3"/>
    <w:rsid w:val="00D73F37"/>
    <w:rsid w:val="00E176FD"/>
    <w:rsid w:val="00E46A7A"/>
    <w:rsid w:val="00E60EB3"/>
    <w:rsid w:val="00E870FC"/>
    <w:rsid w:val="00EF17A5"/>
    <w:rsid w:val="00F224C4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E451B90"/>
  <w14:defaultImageDpi w14:val="32767"/>
  <w15:docId w15:val="{7704CA55-A10C-47A8-AF63-EDDE073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A4E"/>
    <w:pPr>
      <w:keepNext/>
      <w:outlineLvl w:val="0"/>
    </w:pPr>
    <w:rPr>
      <w:rFonts w:ascii="Times" w:eastAsia="Times New Roman" w:hAnsi="Times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6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EB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201A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01A"/>
  </w:style>
  <w:style w:type="paragraph" w:styleId="Fuzeile">
    <w:name w:val="footer"/>
    <w:basedOn w:val="Standard"/>
    <w:link w:val="FuzeileZchn"/>
    <w:uiPriority w:val="99"/>
    <w:unhideWhenUsed/>
    <w:rsid w:val="007D201A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D201A"/>
  </w:style>
  <w:style w:type="character" w:styleId="NichtaufgelsteErwhnung">
    <w:name w:val="Unresolved Mention"/>
    <w:basedOn w:val="Absatz-Standardschriftart"/>
    <w:uiPriority w:val="99"/>
    <w:semiHidden/>
    <w:unhideWhenUsed/>
    <w:rsid w:val="00D73F3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C274B8"/>
  </w:style>
  <w:style w:type="character" w:styleId="BesuchterLink">
    <w:name w:val="FollowedHyperlink"/>
    <w:basedOn w:val="Absatz-Standardschriftart"/>
    <w:uiPriority w:val="99"/>
    <w:semiHidden/>
    <w:unhideWhenUsed/>
    <w:rsid w:val="003341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00A4E"/>
    <w:rPr>
      <w:rFonts w:ascii="Times" w:eastAsia="Times New Roman" w:hAnsi="Times" w:cs="Times New Roman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schwedt@uni-hohenhei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an.commichau@uni-hohenhei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Denham, Emma</dc:creator>
  <cp:lastModifiedBy>Fabian Commichau</cp:lastModifiedBy>
  <cp:revision>33</cp:revision>
  <dcterms:created xsi:type="dcterms:W3CDTF">2019-09-03T09:35:00Z</dcterms:created>
  <dcterms:modified xsi:type="dcterms:W3CDTF">2023-02-08T10:03:00Z</dcterms:modified>
</cp:coreProperties>
</file>